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color w:val="FF0000"/>
                <w:sz w:val="20"/>
                <w:szCs w:val="20"/>
              </w:rPr>
              <w:t>__ ________ 202</w:t>
            </w:r>
            <w:r>
              <w:rPr>
                <w:rFonts w:hint="default"/>
                <w:color w:val="FF0000"/>
                <w:sz w:val="20"/>
                <w:szCs w:val="20"/>
                <w:lang w:val="ru-RU"/>
              </w:rPr>
              <w:t>6</w:t>
            </w:r>
            <w:r>
              <w:rPr>
                <w:color w:val="FF0000"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0"/>
          <w:szCs w:val="20"/>
        </w:rPr>
      </w:pPr>
    </w:p>
    <w:p w14:paraId="51898027">
      <w:pPr>
        <w:ind w:left="6480" w:firstLine="2167"/>
        <w:jc w:val="center"/>
        <w:rPr>
          <w:sz w:val="20"/>
          <w:szCs w:val="20"/>
        </w:rPr>
      </w:pPr>
      <w:r>
        <w:rPr>
          <w:sz w:val="20"/>
          <w:szCs w:val="20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0"/>
                <w:szCs w:val="20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0"/>
                <w:szCs w:val="20"/>
              </w:rPr>
            </w:pPr>
          </w:p>
        </w:tc>
      </w:tr>
    </w:tbl>
    <w:p w14:paraId="53E1E821">
      <w:pPr>
        <w:pStyle w:val="9"/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14:paraId="72833B17">
      <w:pPr>
        <w:rPr>
          <w:sz w:val="20"/>
          <w:szCs w:val="20"/>
        </w:rPr>
      </w:pPr>
    </w:p>
    <w:tbl>
      <w:tblPr>
        <w:tblStyle w:val="12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9"/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                            </w:t>
            </w:r>
            <w:r>
              <w:rPr>
                <w:b/>
                <w:bCs/>
                <w:sz w:val="20"/>
                <w:szCs w:val="20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u w:val="single"/>
              </w:rPr>
              <w:t xml:space="preserve">    </w:t>
            </w:r>
            <w:r>
              <w:rPr>
                <w:sz w:val="20"/>
                <w:szCs w:val="20"/>
              </w:rPr>
              <w:t>»                   20</w:t>
            </w:r>
            <w:r>
              <w:rPr>
                <w:sz w:val="20"/>
                <w:szCs w:val="20"/>
                <w:u w:val="single"/>
              </w:rPr>
              <w:t xml:space="preserve"> 2</w:t>
            </w:r>
            <w:r>
              <w:rPr>
                <w:rFonts w:hint="default"/>
                <w:sz w:val="20"/>
                <w:szCs w:val="20"/>
                <w:u w:val="single"/>
                <w:lang w:val="ru-RU"/>
              </w:rPr>
              <w:t>6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</w:rPr>
        <w:t>ДЕФЕКТНЫЙ АКТ</w:t>
      </w:r>
    </w:p>
    <w:p w14:paraId="2A1C40B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Комиссия, образованна в соответствии с приказом от </w:t>
      </w:r>
      <w:r>
        <w:rPr>
          <w:rFonts w:hint="default"/>
          <w:sz w:val="20"/>
          <w:szCs w:val="20"/>
          <w:lang w:val="ru-RU"/>
        </w:rPr>
        <w:t>05</w:t>
      </w:r>
      <w:r>
        <w:rPr>
          <w:color w:val="FF0000"/>
          <w:sz w:val="20"/>
          <w:szCs w:val="20"/>
        </w:rPr>
        <w:t>.0</w:t>
      </w:r>
      <w:r>
        <w:rPr>
          <w:rFonts w:hint="default"/>
          <w:color w:val="FF0000"/>
          <w:sz w:val="20"/>
          <w:szCs w:val="20"/>
          <w:lang w:val="ru-RU"/>
        </w:rPr>
        <w:t>1</w:t>
      </w:r>
      <w:r>
        <w:rPr>
          <w:color w:val="FF0000"/>
          <w:sz w:val="20"/>
          <w:szCs w:val="20"/>
        </w:rPr>
        <w:t>.202</w:t>
      </w:r>
      <w:r>
        <w:rPr>
          <w:rFonts w:hint="default"/>
          <w:color w:val="FF0000"/>
          <w:sz w:val="20"/>
          <w:szCs w:val="20"/>
          <w:lang w:val="ru-RU"/>
        </w:rPr>
        <w:t>6</w:t>
      </w:r>
      <w:r>
        <w:rPr>
          <w:color w:val="FF0000"/>
          <w:sz w:val="20"/>
          <w:szCs w:val="20"/>
        </w:rPr>
        <w:t xml:space="preserve"> №1-</w:t>
      </w:r>
      <w:r>
        <w:rPr>
          <w:rFonts w:hint="default"/>
          <w:color w:val="FF0000"/>
          <w:sz w:val="20"/>
          <w:szCs w:val="20"/>
          <w:lang w:val="ru-RU"/>
        </w:rPr>
        <w:t>5</w:t>
      </w:r>
      <w:r>
        <w:rPr>
          <w:color w:val="FF0000"/>
          <w:sz w:val="20"/>
          <w:szCs w:val="20"/>
        </w:rPr>
        <w:t>/</w:t>
      </w:r>
      <w:r>
        <w:rPr>
          <w:rFonts w:hint="default"/>
          <w:color w:val="FF0000"/>
          <w:sz w:val="20"/>
          <w:szCs w:val="20"/>
          <w:lang w:val="ru-RU"/>
        </w:rPr>
        <w:t>1 (изм. от 21.01.2026 №1-5/17)</w:t>
      </w:r>
      <w:r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  <w:tr w14:paraId="781EE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2410" w:type="dxa"/>
            <w:vMerge w:val="restart"/>
          </w:tcPr>
          <w:p w14:paraId="458F3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7063D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директора по Х/Р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7365D670">
            <w:pPr>
              <w:rPr>
                <w:sz w:val="20"/>
                <w:szCs w:val="20"/>
              </w:rPr>
            </w:pPr>
          </w:p>
        </w:tc>
      </w:tr>
      <w:tr w14:paraId="1FDE8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662" w:type="dxa"/>
          <w:trHeight w:val="312" w:hRule="atLeast"/>
          <w:jc w:val="center"/>
        </w:trPr>
        <w:tc>
          <w:tcPr>
            <w:tcW w:w="2410" w:type="dxa"/>
            <w:vMerge w:val="continue"/>
          </w:tcPr>
          <w:p w14:paraId="32449E65">
            <w:pPr>
              <w:jc w:val="both"/>
              <w:rPr>
                <w:sz w:val="20"/>
                <w:szCs w:val="20"/>
              </w:rPr>
            </w:pPr>
          </w:p>
        </w:tc>
      </w:tr>
    </w:tbl>
    <w:p w14:paraId="63C79DF8">
      <w:pPr>
        <w:jc w:val="both"/>
        <w:rPr>
          <w:sz w:val="20"/>
          <w:szCs w:val="20"/>
        </w:rPr>
      </w:pPr>
      <w:r>
        <w:rPr>
          <w:sz w:val="20"/>
          <w:szCs w:val="20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ru-RU"/>
              </w:rPr>
              <w:t>Государственное учреждение образования "Детский сад № 553 г.Минска", ул. Филимонова, 47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4B238987">
            <w:pPr>
              <w:ind w:left="0" w:leftChars="0" w:firstLine="0" w:firstLineChars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F9FAFB"/>
                <w:spacing w:val="0"/>
                <w:sz w:val="24"/>
                <w:szCs w:val="24"/>
                <w:shd w:val="clear" w:fill="151517"/>
                <w:lang w:val="ru-RU"/>
              </w:rPr>
            </w:pPr>
            <w:r>
              <w:rPr>
                <w:sz w:val="20"/>
                <w:szCs w:val="20"/>
              </w:rPr>
              <w:t>Установлено,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lang w:val="ru-RU"/>
              </w:rPr>
              <w:t>н</w:t>
            </w:r>
            <w:r>
              <w:t>а территории учреждения</w:t>
            </w:r>
            <w:r>
              <w:rPr>
                <w:rFonts w:hint="default"/>
                <w:lang w:val="ru-RU"/>
              </w:rPr>
              <w:t xml:space="preserve"> </w:t>
            </w:r>
            <w:r>
              <w:rPr>
                <w:rFonts w:hint="default"/>
              </w:rPr>
              <w:t xml:space="preserve">асфальтовое покрытие у канализационного </w:t>
            </w:r>
            <w:r>
              <w:rPr>
                <w:rFonts w:hint="default"/>
                <w:lang w:val="ru-RU"/>
              </w:rPr>
              <w:t>колодца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  <w:lang w:val="ru-RU"/>
              </w:rPr>
              <w:t>площадью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  <w:lang w:val="ru-RU"/>
              </w:rPr>
              <w:t>5</w:t>
            </w:r>
            <w:r>
              <w:rPr>
                <w:rFonts w:hint="default"/>
              </w:rPr>
              <w:t xml:space="preserve"> м</w:t>
            </w:r>
            <w:r>
              <w:rPr>
                <w:rFonts w:hint="default"/>
                <w:lang w:val="ru-RU"/>
              </w:rPr>
              <w:t>2</w:t>
            </w:r>
            <w:r>
              <w:rPr>
                <w:rFonts w:hint="default"/>
              </w:rPr>
              <w:t xml:space="preserve"> имеет трещины, просадки и разрушение. Канализационный колодец в количестве 1 шт. имеет разрушение железобетонных колец, стенок, лотка, крышки люка</w:t>
            </w:r>
            <w:bookmarkStart w:id="0" w:name="_GoBack"/>
            <w:bookmarkEnd w:id="0"/>
            <w:r>
              <w:rPr>
                <w:rFonts w:hint="default"/>
                <w:lang w:val="ru-RU"/>
              </w:rPr>
              <w:t>.</w:t>
            </w:r>
          </w:p>
          <w:p w14:paraId="59380CA4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Комиссией установлено наличие стесненных и усложненных условий производства работ, которые характеризуются следующими факторами: эксплуатируемое здание,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(</w:t>
            </w:r>
            <w:r>
              <w:rPr>
                <w:rFonts w:hint="default"/>
                <w:sz w:val="20"/>
                <w:szCs w:val="20"/>
                <w:lang w:val="ru-RU"/>
              </w:rPr>
              <w:t>К=</w:t>
            </w:r>
            <w:r>
              <w:rPr>
                <w:rFonts w:hint="default"/>
                <w:sz w:val="20"/>
                <w:szCs w:val="20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разработки сметной документации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01.09.2026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BD9AAA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: </w:t>
            </w:r>
            <w:r>
              <w:rPr>
                <w:rFonts w:hint="default"/>
                <w:sz w:val="20"/>
                <w:szCs w:val="20"/>
                <w:lang w:val="ru-RU"/>
              </w:rPr>
              <w:t>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 xml:space="preserve">Продолжительность выполнения </w:t>
            </w:r>
            <w:r>
              <w:rPr>
                <w:sz w:val="20"/>
                <w:szCs w:val="20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5 календарных дней с даты заключения договора.</w:t>
            </w:r>
          </w:p>
        </w:tc>
      </w:tr>
    </w:tbl>
    <w:p w14:paraId="3AA0B887">
      <w:pPr>
        <w:rPr>
          <w:sz w:val="20"/>
          <w:szCs w:val="20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председателя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членов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0596907">
      <w:pPr>
        <w:pStyle w:val="9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9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</w:tbl>
    <w:p w14:paraId="74E5BED2">
      <w:pPr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48C68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0" w:type="dxa"/>
            <w:shd w:val="clear" w:color="auto" w:fill="auto"/>
            <w:vAlign w:val="center"/>
          </w:tcPr>
          <w:p w14:paraId="02639DC7">
            <w:pPr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val="en-US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highlight w:val="none"/>
                <w:lang w:val="en-US" w:eastAsia="ru-RU" w:bidi="ar-SA"/>
              </w:rPr>
              <w:t>1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070D5BE1">
            <w:pPr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rFonts w:hint="default"/>
                <w:sz w:val="20"/>
                <w:szCs w:val="20"/>
                <w:highlight w:val="none"/>
              </w:rPr>
              <w:t>РЕЗКА АСФАЛЬТОБЕТОННОГО ПОКРЫТИЯ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205DBF5C">
            <w:pPr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  <w:t>100 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757D29">
            <w:pPr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  <w:t>0,02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3F3780D1">
            <w:pPr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</w:p>
        </w:tc>
      </w:tr>
      <w:tr w14:paraId="251C0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0" w:type="dxa"/>
            <w:vAlign w:val="center"/>
          </w:tcPr>
          <w:p w14:paraId="7B70BD77">
            <w:pPr>
              <w:jc w:val="left"/>
              <w:rPr>
                <w:rFonts w:hint="default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/>
                <w:sz w:val="20"/>
                <w:szCs w:val="20"/>
                <w:highlight w:val="none"/>
                <w:lang w:val="ru-RU"/>
              </w:rPr>
              <w:t>2</w:t>
            </w:r>
          </w:p>
        </w:tc>
        <w:tc>
          <w:tcPr>
            <w:tcW w:w="6024" w:type="dxa"/>
            <w:vAlign w:val="center"/>
          </w:tcPr>
          <w:p w14:paraId="12B7D408">
            <w:pPr>
              <w:jc w:val="left"/>
              <w:rPr>
                <w:sz w:val="20"/>
                <w:szCs w:val="20"/>
                <w:highlight w:val="none"/>
              </w:rPr>
            </w:pPr>
            <w:r>
              <w:rPr>
                <w:rFonts w:hint="default"/>
                <w:sz w:val="20"/>
                <w:szCs w:val="20"/>
                <w:highlight w:val="none"/>
              </w:rPr>
              <w:t>РАЗБОРКА ПОКРЫТИЙ И ОСНОВАНИЙ АСФАЛЬТОБЕТОННЫХ С ПОМОЩЬЮ МОЛОТКОВ ОТБОЙНЫХ</w:t>
            </w:r>
          </w:p>
        </w:tc>
        <w:tc>
          <w:tcPr>
            <w:tcW w:w="1347" w:type="dxa"/>
            <w:vAlign w:val="center"/>
          </w:tcPr>
          <w:p w14:paraId="2B14DE2A">
            <w:pPr>
              <w:jc w:val="left"/>
              <w:rPr>
                <w:sz w:val="20"/>
                <w:szCs w:val="20"/>
                <w:highlight w:val="none"/>
              </w:rPr>
            </w:pPr>
            <w:r>
              <w:rPr>
                <w:rFonts w:hint="default"/>
                <w:sz w:val="20"/>
                <w:szCs w:val="20"/>
                <w:highlight w:val="none"/>
              </w:rPr>
              <w:t>100 М3</w:t>
            </w:r>
          </w:p>
        </w:tc>
        <w:tc>
          <w:tcPr>
            <w:tcW w:w="1134" w:type="dxa"/>
            <w:vAlign w:val="center"/>
          </w:tcPr>
          <w:p w14:paraId="4A6DB495">
            <w:pPr>
              <w:jc w:val="left"/>
              <w:rPr>
                <w:sz w:val="20"/>
                <w:szCs w:val="20"/>
                <w:highlight w:val="none"/>
              </w:rPr>
            </w:pPr>
            <w:r>
              <w:rPr>
                <w:rFonts w:hint="default"/>
                <w:sz w:val="20"/>
                <w:szCs w:val="20"/>
                <w:highlight w:val="none"/>
              </w:rPr>
              <w:t>0,005</w:t>
            </w:r>
          </w:p>
        </w:tc>
        <w:tc>
          <w:tcPr>
            <w:tcW w:w="1612" w:type="dxa"/>
            <w:vAlign w:val="center"/>
          </w:tcPr>
          <w:p w14:paraId="6A908043">
            <w:pPr>
              <w:jc w:val="left"/>
              <w:rPr>
                <w:sz w:val="20"/>
                <w:szCs w:val="20"/>
              </w:rPr>
            </w:pPr>
          </w:p>
        </w:tc>
      </w:tr>
      <w:tr w14:paraId="4494C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0" w:type="dxa"/>
            <w:vAlign w:val="center"/>
          </w:tcPr>
          <w:p w14:paraId="7977E6BD">
            <w:pPr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3</w:t>
            </w:r>
          </w:p>
        </w:tc>
        <w:tc>
          <w:tcPr>
            <w:tcW w:w="6024" w:type="dxa"/>
            <w:vAlign w:val="center"/>
          </w:tcPr>
          <w:p w14:paraId="3332CEFC">
            <w:pPr>
              <w:jc w:val="left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ПОГРУЗКА ВРУЧНУЮ СПОДРУЧНЫХ И НАВАЛОЧНЫХ ГРУЗОВ (ОТХОДОВ)</w:t>
            </w:r>
          </w:p>
        </w:tc>
        <w:tc>
          <w:tcPr>
            <w:tcW w:w="1347" w:type="dxa"/>
            <w:vAlign w:val="center"/>
          </w:tcPr>
          <w:p w14:paraId="0DE23FAF">
            <w:pPr>
              <w:jc w:val="left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Т</w:t>
            </w:r>
          </w:p>
        </w:tc>
        <w:tc>
          <w:tcPr>
            <w:tcW w:w="1134" w:type="dxa"/>
            <w:vAlign w:val="center"/>
          </w:tcPr>
          <w:p w14:paraId="4F20ECDA">
            <w:pPr>
              <w:jc w:val="left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0,1125</w:t>
            </w:r>
          </w:p>
        </w:tc>
        <w:tc>
          <w:tcPr>
            <w:tcW w:w="1612" w:type="dxa"/>
            <w:vAlign w:val="center"/>
          </w:tcPr>
          <w:p w14:paraId="0765634E">
            <w:pPr>
              <w:jc w:val="left"/>
              <w:rPr>
                <w:sz w:val="20"/>
                <w:szCs w:val="20"/>
              </w:rPr>
            </w:pPr>
          </w:p>
        </w:tc>
      </w:tr>
      <w:tr w14:paraId="69C03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0" w:type="dxa"/>
            <w:vAlign w:val="center"/>
          </w:tcPr>
          <w:p w14:paraId="2D82B816">
            <w:pPr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4</w:t>
            </w:r>
          </w:p>
        </w:tc>
        <w:tc>
          <w:tcPr>
            <w:tcW w:w="6024" w:type="dxa"/>
            <w:vAlign w:val="center"/>
          </w:tcPr>
          <w:p w14:paraId="145F5BB8">
            <w:pPr>
              <w:jc w:val="left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УСТАНОВКА ПРОБОК ПЗУ В КОЛОДЦАХ</w:t>
            </w:r>
          </w:p>
        </w:tc>
        <w:tc>
          <w:tcPr>
            <w:tcW w:w="1347" w:type="dxa"/>
            <w:vAlign w:val="center"/>
          </w:tcPr>
          <w:p w14:paraId="1A09DBA2">
            <w:pPr>
              <w:jc w:val="left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10 ШТ.</w:t>
            </w:r>
          </w:p>
        </w:tc>
        <w:tc>
          <w:tcPr>
            <w:tcW w:w="1134" w:type="dxa"/>
            <w:vAlign w:val="center"/>
          </w:tcPr>
          <w:p w14:paraId="1CCC9B16">
            <w:pPr>
              <w:jc w:val="left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0,2</w:t>
            </w:r>
          </w:p>
        </w:tc>
        <w:tc>
          <w:tcPr>
            <w:tcW w:w="1612" w:type="dxa"/>
            <w:vAlign w:val="center"/>
          </w:tcPr>
          <w:p w14:paraId="7B69AACD">
            <w:pPr>
              <w:jc w:val="left"/>
              <w:rPr>
                <w:sz w:val="20"/>
                <w:szCs w:val="20"/>
              </w:rPr>
            </w:pPr>
          </w:p>
        </w:tc>
      </w:tr>
      <w:tr w14:paraId="740CF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26A3F2E7">
            <w:pPr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5</w:t>
            </w:r>
          </w:p>
        </w:tc>
        <w:tc>
          <w:tcPr>
            <w:tcW w:w="6024" w:type="dxa"/>
            <w:vAlign w:val="center"/>
          </w:tcPr>
          <w:p w14:paraId="744F1CB4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РАЗРАБОТКА ГРУНТА В ТРАНШЕЯХ С ПОГРУЗКОЙ НА АВТОМОБИЛИ-САМОСВАЛЫ ЭКСКАВАТОРАМИ "ОБРАТНАЯ ЛОПАТА" С КОВШОМ ВМЕСТИМОСТЬЮ 0,25 М3, ГРУНТ 2 ГРУППЫ</w:t>
            </w:r>
          </w:p>
        </w:tc>
        <w:tc>
          <w:tcPr>
            <w:tcW w:w="1347" w:type="dxa"/>
            <w:vAlign w:val="center"/>
          </w:tcPr>
          <w:p w14:paraId="5CAF80F8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1000 М3</w:t>
            </w:r>
          </w:p>
        </w:tc>
        <w:tc>
          <w:tcPr>
            <w:tcW w:w="1134" w:type="dxa"/>
            <w:vAlign w:val="center"/>
          </w:tcPr>
          <w:p w14:paraId="3EC6FE3D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0,018</w:t>
            </w:r>
          </w:p>
        </w:tc>
        <w:tc>
          <w:tcPr>
            <w:tcW w:w="1612" w:type="dxa"/>
            <w:vAlign w:val="center"/>
          </w:tcPr>
          <w:p w14:paraId="3A467141">
            <w:pPr>
              <w:jc w:val="left"/>
              <w:rPr>
                <w:sz w:val="20"/>
                <w:szCs w:val="20"/>
              </w:rPr>
            </w:pPr>
          </w:p>
        </w:tc>
      </w:tr>
      <w:tr w14:paraId="6C5E0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1F24140D">
            <w:pPr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6</w:t>
            </w:r>
          </w:p>
        </w:tc>
        <w:tc>
          <w:tcPr>
            <w:tcW w:w="6024" w:type="dxa"/>
            <w:vAlign w:val="center"/>
          </w:tcPr>
          <w:p w14:paraId="6A480267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УСТРОЙСТВО КОЛОДЦЕВ КАНАЛИЗАЦИОННЫХ КРУГЛЫХ СБОРНЫХ ЖЕЛЕЗОБЕТОННЫХ ДИАМЕТРОМ 1 М, В СУХИХ ГРУНТАХ</w:t>
            </w:r>
          </w:p>
        </w:tc>
        <w:tc>
          <w:tcPr>
            <w:tcW w:w="1347" w:type="dxa"/>
            <w:vAlign w:val="center"/>
          </w:tcPr>
          <w:p w14:paraId="554EA968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10 М3</w:t>
            </w:r>
          </w:p>
        </w:tc>
        <w:tc>
          <w:tcPr>
            <w:tcW w:w="1134" w:type="dxa"/>
            <w:vAlign w:val="center"/>
          </w:tcPr>
          <w:p w14:paraId="71022EC1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0,2099</w:t>
            </w:r>
          </w:p>
        </w:tc>
        <w:tc>
          <w:tcPr>
            <w:tcW w:w="1612" w:type="dxa"/>
            <w:vAlign w:val="center"/>
          </w:tcPr>
          <w:p w14:paraId="2BD7BD25">
            <w:pPr>
              <w:jc w:val="left"/>
              <w:rPr>
                <w:sz w:val="20"/>
                <w:szCs w:val="20"/>
              </w:rPr>
            </w:pPr>
          </w:p>
        </w:tc>
      </w:tr>
      <w:tr w14:paraId="76A56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0" w:type="dxa"/>
            <w:vAlign w:val="center"/>
          </w:tcPr>
          <w:p w14:paraId="5F30E641">
            <w:pPr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7</w:t>
            </w:r>
          </w:p>
        </w:tc>
        <w:tc>
          <w:tcPr>
            <w:tcW w:w="6024" w:type="dxa"/>
            <w:vAlign w:val="center"/>
          </w:tcPr>
          <w:p w14:paraId="31780B2E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СМЕНА ЛЮКОВ</w:t>
            </w:r>
          </w:p>
        </w:tc>
        <w:tc>
          <w:tcPr>
            <w:tcW w:w="1347" w:type="dxa"/>
            <w:vAlign w:val="center"/>
          </w:tcPr>
          <w:p w14:paraId="5EB3B17B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100 ШТ.</w:t>
            </w:r>
          </w:p>
        </w:tc>
        <w:tc>
          <w:tcPr>
            <w:tcW w:w="1134" w:type="dxa"/>
            <w:vAlign w:val="center"/>
          </w:tcPr>
          <w:p w14:paraId="492158EC">
            <w:pPr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0,01</w:t>
            </w:r>
          </w:p>
        </w:tc>
        <w:tc>
          <w:tcPr>
            <w:tcW w:w="1612" w:type="dxa"/>
            <w:vAlign w:val="center"/>
          </w:tcPr>
          <w:p w14:paraId="14A98DC4">
            <w:pPr>
              <w:jc w:val="left"/>
              <w:rPr>
                <w:sz w:val="20"/>
                <w:szCs w:val="20"/>
              </w:rPr>
            </w:pPr>
          </w:p>
        </w:tc>
      </w:tr>
      <w:tr w14:paraId="7B107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0" w:type="dxa"/>
            <w:vAlign w:val="center"/>
          </w:tcPr>
          <w:p w14:paraId="1829DA1E">
            <w:pPr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8</w:t>
            </w:r>
          </w:p>
        </w:tc>
        <w:tc>
          <w:tcPr>
            <w:tcW w:w="6024" w:type="dxa"/>
            <w:vAlign w:val="center"/>
          </w:tcPr>
          <w:p w14:paraId="3C02C8F1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ЗАДЕЛКА ОТВЕРСТИЙ В КОЛОДЦЕ</w:t>
            </w:r>
          </w:p>
        </w:tc>
        <w:tc>
          <w:tcPr>
            <w:tcW w:w="1347" w:type="dxa"/>
            <w:vAlign w:val="center"/>
          </w:tcPr>
          <w:p w14:paraId="4A47A9F3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100 ОТВЕРСТИЙ</w:t>
            </w:r>
          </w:p>
        </w:tc>
        <w:tc>
          <w:tcPr>
            <w:tcW w:w="1134" w:type="dxa"/>
            <w:vAlign w:val="center"/>
          </w:tcPr>
          <w:p w14:paraId="7DD7FC17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0,05</w:t>
            </w:r>
          </w:p>
        </w:tc>
        <w:tc>
          <w:tcPr>
            <w:tcW w:w="1612" w:type="dxa"/>
            <w:vAlign w:val="center"/>
          </w:tcPr>
          <w:p w14:paraId="31BE86E8">
            <w:pPr>
              <w:jc w:val="left"/>
              <w:rPr>
                <w:sz w:val="20"/>
                <w:szCs w:val="20"/>
              </w:rPr>
            </w:pPr>
          </w:p>
        </w:tc>
      </w:tr>
      <w:tr w14:paraId="6EEC7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0" w:type="dxa"/>
            <w:vAlign w:val="center"/>
          </w:tcPr>
          <w:p w14:paraId="60592CBF">
            <w:pPr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9</w:t>
            </w:r>
          </w:p>
        </w:tc>
        <w:tc>
          <w:tcPr>
            <w:tcW w:w="6024" w:type="dxa"/>
            <w:vAlign w:val="center"/>
          </w:tcPr>
          <w:p w14:paraId="33024EFF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ПРИГОТОВЛЕНИЕ ЦЕМЕНТНЫХ РАСТВОРОВ ВРУЧНУЮ</w:t>
            </w:r>
          </w:p>
        </w:tc>
        <w:tc>
          <w:tcPr>
            <w:tcW w:w="1347" w:type="dxa"/>
            <w:vAlign w:val="center"/>
          </w:tcPr>
          <w:p w14:paraId="222E434F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М3</w:t>
            </w:r>
          </w:p>
        </w:tc>
        <w:tc>
          <w:tcPr>
            <w:tcW w:w="1134" w:type="dxa"/>
            <w:vAlign w:val="center"/>
          </w:tcPr>
          <w:p w14:paraId="0E2ED786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1,5</w:t>
            </w:r>
          </w:p>
        </w:tc>
        <w:tc>
          <w:tcPr>
            <w:tcW w:w="1612" w:type="dxa"/>
            <w:vAlign w:val="center"/>
          </w:tcPr>
          <w:p w14:paraId="69F7446A">
            <w:pPr>
              <w:jc w:val="left"/>
              <w:rPr>
                <w:sz w:val="20"/>
                <w:szCs w:val="20"/>
              </w:rPr>
            </w:pPr>
          </w:p>
        </w:tc>
      </w:tr>
      <w:tr w14:paraId="211EE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0" w:type="dxa"/>
            <w:vAlign w:val="center"/>
          </w:tcPr>
          <w:p w14:paraId="248AE7BA">
            <w:pPr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10</w:t>
            </w:r>
          </w:p>
        </w:tc>
        <w:tc>
          <w:tcPr>
            <w:tcW w:w="6024" w:type="dxa"/>
            <w:vAlign w:val="center"/>
          </w:tcPr>
          <w:p w14:paraId="32457654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УСТРОЙСТВО БЕТОННЫХ ЛОТКОВ В КОЛОДЦЕ</w:t>
            </w:r>
          </w:p>
        </w:tc>
        <w:tc>
          <w:tcPr>
            <w:tcW w:w="1347" w:type="dxa"/>
            <w:vAlign w:val="center"/>
          </w:tcPr>
          <w:p w14:paraId="47ECDDE3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100 М3</w:t>
            </w:r>
          </w:p>
        </w:tc>
        <w:tc>
          <w:tcPr>
            <w:tcW w:w="1134" w:type="dxa"/>
            <w:vAlign w:val="center"/>
          </w:tcPr>
          <w:p w14:paraId="772339F4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0,005</w:t>
            </w:r>
          </w:p>
        </w:tc>
        <w:tc>
          <w:tcPr>
            <w:tcW w:w="1612" w:type="dxa"/>
            <w:vAlign w:val="center"/>
          </w:tcPr>
          <w:p w14:paraId="294D0938">
            <w:pPr>
              <w:jc w:val="left"/>
              <w:rPr>
                <w:sz w:val="20"/>
                <w:szCs w:val="20"/>
              </w:rPr>
            </w:pPr>
          </w:p>
        </w:tc>
      </w:tr>
      <w:tr w14:paraId="0E758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0" w:type="dxa"/>
            <w:vAlign w:val="center"/>
          </w:tcPr>
          <w:p w14:paraId="350A602C">
            <w:pPr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</w:t>
            </w:r>
          </w:p>
        </w:tc>
        <w:tc>
          <w:tcPr>
            <w:tcW w:w="6024" w:type="dxa"/>
            <w:vAlign w:val="center"/>
          </w:tcPr>
          <w:p w14:paraId="7FC6349D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ДЕМОНТАЖ ПРОБОК ПЗУ В КОЛОДЦАХ</w:t>
            </w:r>
          </w:p>
        </w:tc>
        <w:tc>
          <w:tcPr>
            <w:tcW w:w="1347" w:type="dxa"/>
            <w:vAlign w:val="center"/>
          </w:tcPr>
          <w:p w14:paraId="5F3A9E2D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10 ШТ.</w:t>
            </w:r>
          </w:p>
        </w:tc>
        <w:tc>
          <w:tcPr>
            <w:tcW w:w="1134" w:type="dxa"/>
            <w:vAlign w:val="center"/>
          </w:tcPr>
          <w:p w14:paraId="38A23D29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0,2</w:t>
            </w:r>
          </w:p>
        </w:tc>
        <w:tc>
          <w:tcPr>
            <w:tcW w:w="1612" w:type="dxa"/>
            <w:vAlign w:val="center"/>
          </w:tcPr>
          <w:p w14:paraId="1F93F9D3">
            <w:pPr>
              <w:jc w:val="left"/>
              <w:rPr>
                <w:sz w:val="20"/>
                <w:szCs w:val="20"/>
              </w:rPr>
            </w:pPr>
          </w:p>
        </w:tc>
      </w:tr>
      <w:tr w14:paraId="081F8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0" w:type="dxa"/>
            <w:vAlign w:val="center"/>
          </w:tcPr>
          <w:p w14:paraId="5B2B1C4F">
            <w:pPr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12</w:t>
            </w:r>
          </w:p>
        </w:tc>
        <w:tc>
          <w:tcPr>
            <w:tcW w:w="6024" w:type="dxa"/>
            <w:vAlign w:val="center"/>
          </w:tcPr>
          <w:p w14:paraId="78F96B8B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ОЧИСТКА КАНАЛИЗАЦИИ КОЛОДЦЕВ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5B563499">
            <w:pPr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/>
                <w:sz w:val="20"/>
                <w:szCs w:val="20"/>
              </w:rPr>
              <w:t>М3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E23256">
            <w:pPr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/>
                <w:sz w:val="20"/>
                <w:szCs w:val="20"/>
              </w:rPr>
              <w:t>5,2</w:t>
            </w:r>
          </w:p>
        </w:tc>
        <w:tc>
          <w:tcPr>
            <w:tcW w:w="1612" w:type="dxa"/>
            <w:vAlign w:val="center"/>
          </w:tcPr>
          <w:p w14:paraId="142A72D7">
            <w:pPr>
              <w:jc w:val="left"/>
              <w:rPr>
                <w:sz w:val="20"/>
                <w:szCs w:val="20"/>
              </w:rPr>
            </w:pPr>
          </w:p>
        </w:tc>
      </w:tr>
      <w:tr w14:paraId="2E860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0" w:type="dxa"/>
            <w:vAlign w:val="center"/>
          </w:tcPr>
          <w:p w14:paraId="3AD3DCDF">
            <w:pPr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13</w:t>
            </w:r>
          </w:p>
        </w:tc>
        <w:tc>
          <w:tcPr>
            <w:tcW w:w="6024" w:type="dxa"/>
            <w:vAlign w:val="center"/>
          </w:tcPr>
          <w:p w14:paraId="1CFB905C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ПОГРУЗКА ВРУЧНУЮ СПОДРУЧНЫХ И НАВАЛОЧНЫХ ГРУЗОВ (ОТХОДОВ)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74F5C1C7">
            <w:pPr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/>
                <w:sz w:val="20"/>
                <w:szCs w:val="20"/>
              </w:rPr>
              <w:t>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FE8C18">
            <w:pPr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/>
                <w:sz w:val="20"/>
                <w:szCs w:val="20"/>
              </w:rPr>
              <w:t>10,4</w:t>
            </w:r>
          </w:p>
        </w:tc>
        <w:tc>
          <w:tcPr>
            <w:tcW w:w="1612" w:type="dxa"/>
            <w:vAlign w:val="center"/>
          </w:tcPr>
          <w:p w14:paraId="565A833A">
            <w:pPr>
              <w:jc w:val="left"/>
              <w:rPr>
                <w:sz w:val="20"/>
                <w:szCs w:val="20"/>
              </w:rPr>
            </w:pPr>
          </w:p>
        </w:tc>
      </w:tr>
      <w:tr w14:paraId="1D6A5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atLeast"/>
          <w:jc w:val="center"/>
        </w:trPr>
        <w:tc>
          <w:tcPr>
            <w:tcW w:w="480" w:type="dxa"/>
            <w:vAlign w:val="center"/>
          </w:tcPr>
          <w:p w14:paraId="000DF0B7">
            <w:pPr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14</w:t>
            </w:r>
          </w:p>
        </w:tc>
        <w:tc>
          <w:tcPr>
            <w:tcW w:w="6024" w:type="dxa"/>
            <w:vAlign w:val="center"/>
          </w:tcPr>
          <w:p w14:paraId="645D8E2C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УСТРОЙСТВО ОДНОСЛОЙНЫХ АСФАЛЬТОБЕТОННЫХ ПОКРЫТИЙ ДОРОЖЕК И ТРОТУАРОВ, ИЗ МЕЛКОЗЕРНИСТОЙ АСФАЛЬТОБЕТОННОЙ СМЕСИ ТОЛЩИНОЙ 3 СМ</w:t>
            </w:r>
          </w:p>
        </w:tc>
        <w:tc>
          <w:tcPr>
            <w:tcW w:w="1347" w:type="dxa"/>
            <w:vAlign w:val="center"/>
          </w:tcPr>
          <w:p w14:paraId="788A1A88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100 М2 ПОКРЫТИЯ</w:t>
            </w:r>
          </w:p>
        </w:tc>
        <w:tc>
          <w:tcPr>
            <w:tcW w:w="1134" w:type="dxa"/>
            <w:vAlign w:val="center"/>
          </w:tcPr>
          <w:p w14:paraId="444ACA5A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0,005</w:t>
            </w:r>
          </w:p>
        </w:tc>
        <w:tc>
          <w:tcPr>
            <w:tcW w:w="1612" w:type="dxa"/>
            <w:vAlign w:val="center"/>
          </w:tcPr>
          <w:p w14:paraId="30240D35">
            <w:pPr>
              <w:jc w:val="left"/>
              <w:rPr>
                <w:sz w:val="20"/>
                <w:szCs w:val="20"/>
              </w:rPr>
            </w:pPr>
          </w:p>
        </w:tc>
      </w:tr>
      <w:tr w14:paraId="145A6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3FAF5385">
            <w:pPr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15</w:t>
            </w:r>
          </w:p>
        </w:tc>
        <w:tc>
          <w:tcPr>
            <w:tcW w:w="6024" w:type="dxa"/>
            <w:vAlign w:val="center"/>
          </w:tcPr>
          <w:p w14:paraId="6BAE650C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ЗАСЫПКА ВРУЧНУЮ ТРАНШЕЙ, ПАЗУХ КОТЛОВАНОВ И ЯМ, ГРУНТ 1 ГРУППЫ</w:t>
            </w:r>
          </w:p>
        </w:tc>
        <w:tc>
          <w:tcPr>
            <w:tcW w:w="1347" w:type="dxa"/>
            <w:vAlign w:val="center"/>
          </w:tcPr>
          <w:p w14:paraId="21A30C3C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100 М3 ГРУНТА</w:t>
            </w:r>
          </w:p>
        </w:tc>
        <w:tc>
          <w:tcPr>
            <w:tcW w:w="1134" w:type="dxa"/>
            <w:vAlign w:val="center"/>
          </w:tcPr>
          <w:p w14:paraId="2414D571">
            <w:pPr>
              <w:jc w:val="lef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0,052</w:t>
            </w:r>
          </w:p>
        </w:tc>
        <w:tc>
          <w:tcPr>
            <w:tcW w:w="1612" w:type="dxa"/>
            <w:vAlign w:val="center"/>
          </w:tcPr>
          <w:p w14:paraId="7D687FF8">
            <w:pPr>
              <w:jc w:val="left"/>
              <w:rPr>
                <w:sz w:val="20"/>
                <w:szCs w:val="20"/>
              </w:rPr>
            </w:pPr>
          </w:p>
        </w:tc>
      </w:tr>
    </w:tbl>
    <w:p w14:paraId="67AAC213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C9C2BEA">
      <w:pPr>
        <w:pStyle w:val="9"/>
        <w:jc w:val="center"/>
        <w:rPr>
          <w:sz w:val="18"/>
          <w:szCs w:val="18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0"/>
    </w:pPr>
  </w:p>
  <w:p w14:paraId="013D0816">
    <w:pPr>
      <w:pStyle w:val="1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D1022"/>
    <w:rsid w:val="08F34D66"/>
    <w:rsid w:val="13D55286"/>
    <w:rsid w:val="165F78CC"/>
    <w:rsid w:val="1B833540"/>
    <w:rsid w:val="209F4781"/>
    <w:rsid w:val="217F294D"/>
    <w:rsid w:val="28B828E7"/>
    <w:rsid w:val="2DC342DF"/>
    <w:rsid w:val="32346DD9"/>
    <w:rsid w:val="33B20594"/>
    <w:rsid w:val="34CD29E5"/>
    <w:rsid w:val="38050E40"/>
    <w:rsid w:val="3E4C3E9C"/>
    <w:rsid w:val="3F110955"/>
    <w:rsid w:val="41102ED1"/>
    <w:rsid w:val="4253789F"/>
    <w:rsid w:val="45CD23C1"/>
    <w:rsid w:val="477D5511"/>
    <w:rsid w:val="482272D3"/>
    <w:rsid w:val="48E70E06"/>
    <w:rsid w:val="55541FE3"/>
    <w:rsid w:val="56A411A2"/>
    <w:rsid w:val="58C73E57"/>
    <w:rsid w:val="59FE7662"/>
    <w:rsid w:val="5CE41FE9"/>
    <w:rsid w:val="5EDD115B"/>
    <w:rsid w:val="5F3E325F"/>
    <w:rsid w:val="613D6A07"/>
    <w:rsid w:val="658C4497"/>
    <w:rsid w:val="66845682"/>
    <w:rsid w:val="6AF71B23"/>
    <w:rsid w:val="6FED0A82"/>
    <w:rsid w:val="75FB6052"/>
    <w:rsid w:val="76A80D45"/>
    <w:rsid w:val="7B745E22"/>
    <w:rsid w:val="7DF8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Balloon Text"/>
    <w:basedOn w:val="1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2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5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6">
    <w:name w:val="Нижний колонтитул Знак"/>
    <w:basedOn w:val="4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Текст выноски Знак"/>
    <w:basedOn w:val="4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445</Words>
  <Characters>3099</Characters>
  <Lines>19</Lines>
  <Paragraphs>5</Paragraphs>
  <TotalTime>45</TotalTime>
  <ScaleCrop>false</ScaleCrop>
  <LinksUpToDate>false</LinksUpToDate>
  <CharactersWithSpaces>3726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Александра</cp:lastModifiedBy>
  <cp:lastPrinted>2026-09-07T10:55:10Z</cp:lastPrinted>
  <dcterms:modified xsi:type="dcterms:W3CDTF">2026-09-07T11:00:02Z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